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18" w:rsidRPr="00BA03A1" w:rsidRDefault="00C14618" w:rsidP="00C14618">
      <w:pPr>
        <w:tabs>
          <w:tab w:val="left" w:pos="567"/>
          <w:tab w:val="left" w:pos="851"/>
        </w:tabs>
        <w:rPr>
          <w:b/>
          <w:szCs w:val="24"/>
          <w:lang w:val="en-US"/>
        </w:rPr>
      </w:pPr>
      <w:r w:rsidRPr="00BA03A1">
        <w:rPr>
          <w:b/>
          <w:szCs w:val="24"/>
          <w:lang w:val="en-US"/>
        </w:rPr>
        <w:t xml:space="preserve">Confirmation of participation in the </w:t>
      </w:r>
      <w:proofErr w:type="spellStart"/>
      <w:r w:rsidRPr="00BA03A1">
        <w:rPr>
          <w:b/>
          <w:szCs w:val="24"/>
          <w:lang w:val="en-US"/>
        </w:rPr>
        <w:t>intercomparison</w:t>
      </w:r>
      <w:proofErr w:type="spellEnd"/>
      <w:r w:rsidRPr="00BA03A1">
        <w:rPr>
          <w:b/>
          <w:szCs w:val="24"/>
          <w:lang w:val="en-US"/>
        </w:rPr>
        <w:t xml:space="preserve"> </w:t>
      </w:r>
      <w:r w:rsidR="0022021F">
        <w:rPr>
          <w:b/>
          <w:szCs w:val="24"/>
          <w:lang w:val="en-US"/>
        </w:rPr>
        <w:t>HUMI</w:t>
      </w:r>
      <w:r>
        <w:rPr>
          <w:b/>
          <w:szCs w:val="24"/>
          <w:lang w:val="en-US"/>
        </w:rPr>
        <w:t xml:space="preserve"> 0</w:t>
      </w:r>
      <w:r w:rsidR="0022021F">
        <w:rPr>
          <w:b/>
          <w:szCs w:val="24"/>
          <w:lang w:val="en-US"/>
        </w:rPr>
        <w:t>4</w:t>
      </w:r>
    </w:p>
    <w:p w:rsidR="00C14618" w:rsidRDefault="00C14618" w:rsidP="00C14618">
      <w:pPr>
        <w:tabs>
          <w:tab w:val="left" w:pos="567"/>
          <w:tab w:val="left" w:pos="851"/>
        </w:tabs>
        <w:rPr>
          <w:b/>
          <w:szCs w:val="24"/>
          <w:lang w:val="en-US"/>
        </w:rPr>
      </w:pPr>
    </w:p>
    <w:p w:rsidR="0022021F" w:rsidRPr="0022021F" w:rsidRDefault="0022021F" w:rsidP="0022021F">
      <w:pPr>
        <w:tabs>
          <w:tab w:val="left" w:pos="567"/>
          <w:tab w:val="left" w:pos="851"/>
        </w:tabs>
        <w:rPr>
          <w:szCs w:val="24"/>
          <w:lang w:val="en-US"/>
        </w:rPr>
      </w:pPr>
      <w:r w:rsidRPr="0022021F">
        <w:rPr>
          <w:sz w:val="36"/>
          <w:szCs w:val="24"/>
          <w:lang w:val="en-US"/>
        </w:rPr>
        <w:t xml:space="preserve">□ </w:t>
      </w:r>
      <w:r w:rsidRPr="00BA03A1">
        <w:rPr>
          <w:szCs w:val="24"/>
          <w:lang w:val="en-US"/>
        </w:rPr>
        <w:t xml:space="preserve">We </w:t>
      </w:r>
      <w:r w:rsidR="00B16F15">
        <w:rPr>
          <w:szCs w:val="24"/>
          <w:lang w:val="en-US"/>
        </w:rPr>
        <w:t xml:space="preserve">would like </w:t>
      </w:r>
      <w:r w:rsidRPr="00BA03A1">
        <w:rPr>
          <w:szCs w:val="24"/>
          <w:lang w:val="en-US"/>
        </w:rPr>
        <w:t xml:space="preserve">to participate in </w:t>
      </w:r>
      <w:r>
        <w:rPr>
          <w:szCs w:val="24"/>
          <w:lang w:val="en-US"/>
        </w:rPr>
        <w:t xml:space="preserve">the </w:t>
      </w:r>
      <w:proofErr w:type="spellStart"/>
      <w:r>
        <w:rPr>
          <w:szCs w:val="24"/>
          <w:lang w:val="en-US"/>
        </w:rPr>
        <w:t>intercomparison</w:t>
      </w:r>
      <w:proofErr w:type="spellEnd"/>
    </w:p>
    <w:p w:rsidR="0022021F" w:rsidRPr="0022021F" w:rsidRDefault="0022021F" w:rsidP="0022021F">
      <w:pPr>
        <w:tabs>
          <w:tab w:val="left" w:pos="567"/>
          <w:tab w:val="left" w:pos="851"/>
        </w:tabs>
        <w:rPr>
          <w:szCs w:val="24"/>
          <w:lang w:val="en-US"/>
        </w:rPr>
      </w:pPr>
    </w:p>
    <w:p w:rsidR="0022021F" w:rsidRPr="0022021F" w:rsidRDefault="00B16F15" w:rsidP="0022021F">
      <w:pPr>
        <w:tabs>
          <w:tab w:val="left" w:pos="567"/>
          <w:tab w:val="left" w:pos="851"/>
        </w:tabs>
        <w:rPr>
          <w:szCs w:val="24"/>
          <w:lang w:val="en-US"/>
        </w:rPr>
      </w:pPr>
      <w:r>
        <w:rPr>
          <w:szCs w:val="24"/>
          <w:lang w:val="en-US"/>
        </w:rPr>
        <w:t>We</w:t>
      </w:r>
      <w:r w:rsidR="0022021F" w:rsidRPr="0022021F">
        <w:rPr>
          <w:szCs w:val="24"/>
          <w:lang w:val="en-US"/>
        </w:rPr>
        <w:t xml:space="preserve"> participate in the comparison concerning:</w:t>
      </w:r>
    </w:p>
    <w:p w:rsidR="0022021F" w:rsidRPr="0022021F" w:rsidRDefault="0022021F" w:rsidP="0022021F">
      <w:pPr>
        <w:tabs>
          <w:tab w:val="left" w:pos="567"/>
          <w:tab w:val="left" w:pos="851"/>
        </w:tabs>
        <w:rPr>
          <w:szCs w:val="24"/>
          <w:lang w:val="en-US"/>
        </w:rPr>
      </w:pPr>
      <w:proofErr w:type="gramStart"/>
      <w:r w:rsidRPr="0022021F">
        <w:rPr>
          <w:sz w:val="36"/>
          <w:szCs w:val="24"/>
          <w:lang w:val="en-US"/>
        </w:rPr>
        <w:t>□</w:t>
      </w:r>
      <w:r w:rsidRPr="0022021F">
        <w:rPr>
          <w:szCs w:val="24"/>
          <w:lang w:val="en-US"/>
        </w:rPr>
        <w:t xml:space="preserve"> </w:t>
      </w:r>
      <w:r w:rsidR="00B16F15">
        <w:rPr>
          <w:szCs w:val="24"/>
          <w:lang w:val="en-US"/>
        </w:rPr>
        <w:t xml:space="preserve"> </w:t>
      </w:r>
      <w:r w:rsidRPr="0022021F">
        <w:rPr>
          <w:szCs w:val="24"/>
          <w:lang w:val="en-US"/>
        </w:rPr>
        <w:t>Humidity</w:t>
      </w:r>
      <w:proofErr w:type="gramEnd"/>
      <w:r w:rsidRPr="0022021F">
        <w:rPr>
          <w:szCs w:val="24"/>
          <w:lang w:val="en-US"/>
        </w:rPr>
        <w:t xml:space="preserve"> </w:t>
      </w:r>
    </w:p>
    <w:p w:rsidR="0022021F" w:rsidRPr="0022021F" w:rsidRDefault="0022021F" w:rsidP="0022021F">
      <w:pPr>
        <w:tabs>
          <w:tab w:val="left" w:pos="567"/>
          <w:tab w:val="left" w:pos="851"/>
        </w:tabs>
        <w:rPr>
          <w:szCs w:val="24"/>
          <w:lang w:val="en-US"/>
        </w:rPr>
      </w:pPr>
      <w:r w:rsidRPr="0022021F">
        <w:rPr>
          <w:sz w:val="36"/>
          <w:szCs w:val="24"/>
          <w:lang w:val="en-US"/>
        </w:rPr>
        <w:t xml:space="preserve">□ </w:t>
      </w:r>
      <w:r w:rsidRPr="0022021F">
        <w:rPr>
          <w:szCs w:val="24"/>
          <w:lang w:val="en-US"/>
        </w:rPr>
        <w:t>Temperature (in air)</w:t>
      </w:r>
    </w:p>
    <w:p w:rsidR="0022021F" w:rsidRPr="0022021F" w:rsidRDefault="0022021F" w:rsidP="0022021F">
      <w:pPr>
        <w:tabs>
          <w:tab w:val="left" w:pos="567"/>
          <w:tab w:val="left" w:pos="851"/>
        </w:tabs>
        <w:rPr>
          <w:szCs w:val="24"/>
          <w:lang w:val="en-US"/>
        </w:rPr>
      </w:pPr>
    </w:p>
    <w:p w:rsidR="0022021F" w:rsidRPr="00D90E37" w:rsidRDefault="0022021F" w:rsidP="0022021F">
      <w:pPr>
        <w:tabs>
          <w:tab w:val="left" w:pos="567"/>
          <w:tab w:val="left" w:pos="5103"/>
        </w:tabs>
        <w:rPr>
          <w:szCs w:val="24"/>
          <w:lang w:val="en-US"/>
        </w:rPr>
      </w:pPr>
      <w:r>
        <w:rPr>
          <w:szCs w:val="24"/>
          <w:lang w:val="en-US"/>
        </w:rPr>
        <w:t xml:space="preserve">Price for one parameter: </w:t>
      </w:r>
      <w:r w:rsidRPr="00D90E37">
        <w:rPr>
          <w:szCs w:val="24"/>
          <w:lang w:val="en-US"/>
        </w:rPr>
        <w:t xml:space="preserve">EUR </w:t>
      </w:r>
      <w:r>
        <w:rPr>
          <w:szCs w:val="24"/>
          <w:lang w:val="en-US"/>
        </w:rPr>
        <w:t>6</w:t>
      </w:r>
      <w:r w:rsidRPr="00D90E37">
        <w:rPr>
          <w:szCs w:val="24"/>
          <w:lang w:val="en-US"/>
        </w:rPr>
        <w:t>50 exclusive of VAT</w:t>
      </w:r>
    </w:p>
    <w:p w:rsidR="0022021F" w:rsidRDefault="0022021F" w:rsidP="0022021F">
      <w:pPr>
        <w:tabs>
          <w:tab w:val="left" w:pos="567"/>
          <w:tab w:val="left" w:pos="5103"/>
        </w:tabs>
        <w:rPr>
          <w:szCs w:val="24"/>
          <w:lang w:val="en-US"/>
        </w:rPr>
      </w:pPr>
      <w:r>
        <w:rPr>
          <w:szCs w:val="24"/>
          <w:lang w:val="en-US"/>
        </w:rPr>
        <w:t xml:space="preserve">Price for two parameters: </w:t>
      </w:r>
      <w:r w:rsidRPr="00D90E37">
        <w:rPr>
          <w:szCs w:val="24"/>
          <w:lang w:val="en-US"/>
        </w:rPr>
        <w:t xml:space="preserve">EUR </w:t>
      </w:r>
      <w:r>
        <w:rPr>
          <w:szCs w:val="24"/>
          <w:lang w:val="en-US"/>
        </w:rPr>
        <w:t>8</w:t>
      </w:r>
      <w:r w:rsidRPr="00D90E37">
        <w:rPr>
          <w:szCs w:val="24"/>
          <w:lang w:val="en-US"/>
        </w:rPr>
        <w:t>50 exclusive of VAT</w:t>
      </w:r>
    </w:p>
    <w:p w:rsidR="0022021F" w:rsidRDefault="0022021F" w:rsidP="0022021F">
      <w:pPr>
        <w:tabs>
          <w:tab w:val="left" w:pos="567"/>
          <w:tab w:val="left" w:pos="5103"/>
        </w:tabs>
        <w:rPr>
          <w:szCs w:val="24"/>
          <w:lang w:val="en-U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819"/>
      </w:tblGrid>
      <w:tr w:rsidR="00C14618" w:rsidRPr="007A1730" w:rsidTr="00A93FF6">
        <w:trPr>
          <w:trHeight w:val="33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b/>
                <w:sz w:val="22"/>
                <w:szCs w:val="24"/>
                <w:lang w:val="en-GB"/>
              </w:rPr>
              <w:t>Laboratory information</w:t>
            </w:r>
          </w:p>
        </w:tc>
      </w:tr>
      <w:tr w:rsidR="00C14618" w:rsidRPr="007A1730" w:rsidTr="00A93FF6">
        <w:trPr>
          <w:trHeight w:val="330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Name of laboratory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 xml:space="preserve">Department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Street and No.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Town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Country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Phone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Contact person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Email address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7A1730" w:rsidRPr="007A1730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7A1730" w:rsidRPr="007A1730" w:rsidRDefault="007A1730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VAT No.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7A1730" w:rsidRPr="007A1730" w:rsidRDefault="007A1730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B75357" w:rsidTr="00A93FF6">
        <w:trPr>
          <w:trHeight w:val="319"/>
        </w:trPr>
        <w:tc>
          <w:tcPr>
            <w:tcW w:w="3701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 xml:space="preserve">Indicate if there are any periods </w:t>
            </w:r>
            <w:r w:rsidRPr="007A1730">
              <w:rPr>
                <w:sz w:val="22"/>
                <w:szCs w:val="24"/>
                <w:lang w:val="en-GB"/>
              </w:rPr>
              <w:br/>
              <w:t xml:space="preserve">during which the laboratory cannot </w:t>
            </w:r>
            <w:r w:rsidR="006001A8">
              <w:rPr>
                <w:sz w:val="22"/>
                <w:szCs w:val="24"/>
                <w:lang w:val="en-GB"/>
              </w:rPr>
              <w:br/>
            </w:r>
            <w:r w:rsidRPr="007A1730">
              <w:rPr>
                <w:sz w:val="22"/>
                <w:szCs w:val="24"/>
                <w:lang w:val="en-GB"/>
              </w:rPr>
              <w:t>perform the measurements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</w:tbl>
    <w:p w:rsidR="00C14618" w:rsidRPr="004A4F32" w:rsidRDefault="00C14618" w:rsidP="00C14618">
      <w:pPr>
        <w:keepNext/>
        <w:keepLines/>
        <w:rPr>
          <w:b/>
          <w:szCs w:val="24"/>
          <w:lang w:val="en-GB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4814"/>
      </w:tblGrid>
      <w:tr w:rsidR="00C14618" w:rsidRPr="00B75357" w:rsidTr="00461C7F">
        <w:trPr>
          <w:trHeight w:val="330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14618" w:rsidRPr="007A1730" w:rsidRDefault="00C14618" w:rsidP="00461C7F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b/>
                <w:sz w:val="22"/>
                <w:szCs w:val="24"/>
                <w:lang w:val="en-GB"/>
              </w:rPr>
              <w:t>Address for the invoice</w:t>
            </w:r>
            <w:r w:rsidRPr="007A1730">
              <w:rPr>
                <w:b/>
                <w:sz w:val="22"/>
                <w:szCs w:val="24"/>
                <w:vertAlign w:val="superscript"/>
                <w:lang w:val="en-GB"/>
              </w:rPr>
              <w:t>1</w:t>
            </w:r>
            <w:r w:rsidRPr="007A1730">
              <w:rPr>
                <w:b/>
                <w:sz w:val="22"/>
                <w:szCs w:val="24"/>
                <w:lang w:val="en-GB"/>
              </w:rPr>
              <w:t xml:space="preserve"> (if different from above) </w:t>
            </w:r>
          </w:p>
        </w:tc>
      </w:tr>
      <w:tr w:rsidR="00C14618" w:rsidRPr="006001A8" w:rsidTr="00A93FF6">
        <w:trPr>
          <w:trHeight w:val="330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Name of laboratory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6001A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 xml:space="preserve">Department 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6001A8" w:rsidRDefault="00C14618" w:rsidP="00A93FF6">
            <w:pPr>
              <w:keepNext/>
              <w:keepLines/>
              <w:rPr>
                <w:sz w:val="22"/>
                <w:szCs w:val="24"/>
                <w:lang w:val="en-US"/>
              </w:rPr>
            </w:pPr>
          </w:p>
        </w:tc>
      </w:tr>
      <w:tr w:rsidR="00C14618" w:rsidRPr="006001A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Street and No.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6001A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Town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6001A8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Country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Phone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Contact person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7A1730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>Email address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  <w:tr w:rsidR="00C14618" w:rsidRPr="00B75357" w:rsidTr="00A93FF6">
        <w:trPr>
          <w:trHeight w:val="319"/>
        </w:trPr>
        <w:tc>
          <w:tcPr>
            <w:tcW w:w="3706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  <w:r w:rsidRPr="007A1730">
              <w:rPr>
                <w:sz w:val="22"/>
                <w:szCs w:val="24"/>
                <w:lang w:val="en-GB"/>
              </w:rPr>
              <w:t xml:space="preserve">Other information concerning the </w:t>
            </w:r>
            <w:r w:rsidR="007D489E">
              <w:rPr>
                <w:sz w:val="22"/>
                <w:szCs w:val="24"/>
                <w:lang w:val="en-GB"/>
              </w:rPr>
              <w:br/>
            </w:r>
            <w:r w:rsidRPr="007A1730">
              <w:rPr>
                <w:sz w:val="22"/>
                <w:szCs w:val="24"/>
                <w:lang w:val="en-GB"/>
              </w:rPr>
              <w:t>invoice</w:t>
            </w: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C14618" w:rsidRPr="007A1730" w:rsidRDefault="00C14618" w:rsidP="00A93FF6">
            <w:pPr>
              <w:keepNext/>
              <w:keepLines/>
              <w:rPr>
                <w:sz w:val="22"/>
                <w:szCs w:val="24"/>
                <w:lang w:val="en-GB"/>
              </w:rPr>
            </w:pPr>
          </w:p>
        </w:tc>
      </w:tr>
    </w:tbl>
    <w:p w:rsidR="00C14618" w:rsidRDefault="00C14618" w:rsidP="00C14618">
      <w:pPr>
        <w:keepNext/>
        <w:keepLines/>
        <w:rPr>
          <w:b/>
          <w:sz w:val="20"/>
          <w:vertAlign w:val="superscript"/>
          <w:lang w:val="en-GB"/>
        </w:rPr>
      </w:pPr>
    </w:p>
    <w:p w:rsidR="00C14618" w:rsidRPr="00461C7F" w:rsidRDefault="00C14618" w:rsidP="00C14618">
      <w:pPr>
        <w:keepNext/>
        <w:keepLines/>
        <w:rPr>
          <w:sz w:val="20"/>
          <w:lang w:val="en-GB"/>
        </w:rPr>
      </w:pPr>
      <w:r w:rsidRPr="00461C7F">
        <w:rPr>
          <w:sz w:val="20"/>
          <w:vertAlign w:val="superscript"/>
          <w:lang w:val="en-GB"/>
        </w:rPr>
        <w:t>1</w:t>
      </w:r>
      <w:r w:rsidR="00461C7F">
        <w:rPr>
          <w:sz w:val="20"/>
          <w:vertAlign w:val="superscript"/>
          <w:lang w:val="en-GB"/>
        </w:rPr>
        <w:t xml:space="preserve"> </w:t>
      </w:r>
      <w:r w:rsidR="00B16F15" w:rsidRPr="00461C7F">
        <w:rPr>
          <w:sz w:val="20"/>
          <w:lang w:val="en-GB"/>
        </w:rPr>
        <w:t xml:space="preserve">You will be invoiced </w:t>
      </w:r>
      <w:r w:rsidRPr="00461C7F">
        <w:rPr>
          <w:sz w:val="20"/>
          <w:lang w:val="en-GB"/>
        </w:rPr>
        <w:t>when the equipment is sent to the first participant, unless a special agreement ha</w:t>
      </w:r>
      <w:r w:rsidR="00C702FF" w:rsidRPr="00461C7F">
        <w:rPr>
          <w:sz w:val="20"/>
          <w:lang w:val="en-GB"/>
        </w:rPr>
        <w:t>s</w:t>
      </w:r>
      <w:r w:rsidRPr="00461C7F">
        <w:rPr>
          <w:sz w:val="20"/>
          <w:lang w:val="en-GB"/>
        </w:rPr>
        <w:t xml:space="preserve"> been made with the coordinator. The price for </w:t>
      </w:r>
      <w:r w:rsidR="00B16F15" w:rsidRPr="00461C7F">
        <w:rPr>
          <w:sz w:val="20"/>
          <w:lang w:val="en-GB"/>
        </w:rPr>
        <w:t xml:space="preserve">the </w:t>
      </w:r>
      <w:r w:rsidRPr="00461C7F">
        <w:rPr>
          <w:sz w:val="20"/>
          <w:lang w:val="en-GB"/>
        </w:rPr>
        <w:t>participation is exclusive of transport to the next participant in the loop.</w:t>
      </w:r>
      <w:r w:rsidR="0022021F" w:rsidRPr="00461C7F">
        <w:rPr>
          <w:sz w:val="20"/>
          <w:lang w:val="en-GB"/>
        </w:rPr>
        <w:t xml:space="preserve"> </w:t>
      </w:r>
      <w:r w:rsidR="00B75357">
        <w:rPr>
          <w:sz w:val="20"/>
          <w:lang w:val="en-GB"/>
        </w:rPr>
        <w:t xml:space="preserve">If an ATA Carnet is needed for your country there will be an additional charge. </w:t>
      </w:r>
      <w:r w:rsidRPr="00461C7F">
        <w:rPr>
          <w:sz w:val="20"/>
          <w:lang w:val="en-GB"/>
        </w:rPr>
        <w:t>For our general terms and conditions, please refe</w:t>
      </w:r>
      <w:bookmarkStart w:id="0" w:name="_GoBack"/>
      <w:bookmarkEnd w:id="0"/>
      <w:r w:rsidRPr="00461C7F">
        <w:rPr>
          <w:sz w:val="20"/>
          <w:lang w:val="en-GB"/>
        </w:rPr>
        <w:t xml:space="preserve">r to: </w:t>
      </w:r>
      <w:hyperlink r:id="rId8" w:history="1">
        <w:r w:rsidRPr="00461C7F">
          <w:rPr>
            <w:rStyle w:val="Hyperlink"/>
            <w:sz w:val="20"/>
            <w:lang w:val="en-GB"/>
          </w:rPr>
          <w:t>http://www.dti.dk/who-are-we/general-terms-and-conditions/23888,2</w:t>
        </w:r>
      </w:hyperlink>
    </w:p>
    <w:p w:rsidR="00923899" w:rsidRPr="00C14618" w:rsidRDefault="00923899" w:rsidP="00D42343">
      <w:pPr>
        <w:tabs>
          <w:tab w:val="left" w:pos="567"/>
          <w:tab w:val="left" w:pos="851"/>
        </w:tabs>
        <w:rPr>
          <w:b/>
          <w:szCs w:val="24"/>
          <w:lang w:val="en-US"/>
        </w:rPr>
      </w:pPr>
    </w:p>
    <w:sectPr w:rsidR="00923899" w:rsidRPr="00C14618" w:rsidSect="00E17FC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155" w:right="2053" w:bottom="1588" w:left="1701" w:header="567" w:footer="851" w:gutter="0"/>
      <w:paperSrc w:first="258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7F" w:rsidRDefault="0034387F">
      <w:r>
        <w:separator/>
      </w:r>
    </w:p>
  </w:endnote>
  <w:endnote w:type="continuationSeparator" w:id="0">
    <w:p w:rsidR="0034387F" w:rsidRDefault="003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37" w:rsidRDefault="00D90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0E37" w:rsidRDefault="00D90E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37" w:rsidRPr="00AE3DC9" w:rsidRDefault="00D90E37">
    <w:pPr>
      <w:pStyle w:val="Footer"/>
      <w:framePr w:wrap="around" w:vAnchor="text" w:hAnchor="margin" w:xAlign="right" w:y="1"/>
      <w:rPr>
        <w:rStyle w:val="PageNumber"/>
        <w:sz w:val="20"/>
      </w:rPr>
    </w:pPr>
    <w:r w:rsidRPr="00AE3DC9">
      <w:rPr>
        <w:rStyle w:val="PageNumber"/>
        <w:sz w:val="20"/>
      </w:rPr>
      <w:fldChar w:fldCharType="begin"/>
    </w:r>
    <w:r w:rsidRPr="00AE3DC9">
      <w:rPr>
        <w:rStyle w:val="PageNumber"/>
        <w:sz w:val="20"/>
      </w:rPr>
      <w:instrText xml:space="preserve">PAGE  </w:instrText>
    </w:r>
    <w:r w:rsidRPr="00AE3DC9">
      <w:rPr>
        <w:rStyle w:val="PageNumber"/>
        <w:sz w:val="20"/>
      </w:rPr>
      <w:fldChar w:fldCharType="separate"/>
    </w:r>
    <w:r w:rsidR="00B16F15">
      <w:rPr>
        <w:rStyle w:val="PageNumber"/>
        <w:noProof/>
        <w:sz w:val="20"/>
      </w:rPr>
      <w:t>2</w:t>
    </w:r>
    <w:r w:rsidRPr="00AE3DC9">
      <w:rPr>
        <w:rStyle w:val="PageNumber"/>
        <w:sz w:val="20"/>
      </w:rPr>
      <w:fldChar w:fldCharType="end"/>
    </w:r>
  </w:p>
  <w:p w:rsidR="00D90E37" w:rsidRPr="00E17FCA" w:rsidRDefault="00D90E37" w:rsidP="001A7649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7F" w:rsidRDefault="0034387F">
      <w:r>
        <w:separator/>
      </w:r>
    </w:p>
  </w:footnote>
  <w:footnote w:type="continuationSeparator" w:id="0">
    <w:p w:rsidR="0034387F" w:rsidRDefault="0034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90E37">
      <w:trPr>
        <w:cantSplit/>
        <w:trHeight w:val="746"/>
      </w:trPr>
      <w:tc>
        <w:tcPr>
          <w:tcW w:w="9214" w:type="dxa"/>
          <w:tcBorders>
            <w:bottom w:val="nil"/>
          </w:tcBorders>
        </w:tcPr>
        <w:p w:rsidR="00D90E37" w:rsidRDefault="00D90E37" w:rsidP="000002B8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712BD27" wp14:editId="74EF31CB">
                <wp:extent cx="1533525" cy="781050"/>
                <wp:effectExtent l="0" t="0" r="9525" b="0"/>
                <wp:docPr id="1" name="Billede 1" descr="UK LARGE 24MM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 LARGE 24MM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0E37" w:rsidRDefault="00D90E37" w:rsidP="005F704B">
    <w:pPr>
      <w:pStyle w:val="Header"/>
    </w:pPr>
  </w:p>
  <w:p w:rsidR="00D90E37" w:rsidRDefault="00D90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4017"/>
      <w:gridCol w:w="2551"/>
    </w:tblGrid>
    <w:tr w:rsidR="00D90E37">
      <w:trPr>
        <w:cantSplit/>
        <w:trHeight w:val="746"/>
      </w:trPr>
      <w:tc>
        <w:tcPr>
          <w:tcW w:w="3213" w:type="dxa"/>
          <w:tcBorders>
            <w:bottom w:val="nil"/>
          </w:tcBorders>
        </w:tcPr>
        <w:p w:rsidR="00D90E37" w:rsidRDefault="00D90E37" w:rsidP="000002B8">
          <w:pPr>
            <w:pStyle w:val="Header"/>
          </w:pPr>
        </w:p>
      </w:tc>
      <w:tc>
        <w:tcPr>
          <w:tcW w:w="4017" w:type="dxa"/>
          <w:vMerge w:val="restart"/>
        </w:tcPr>
        <w:p w:rsidR="00D90E37" w:rsidRDefault="00D90E37" w:rsidP="000002B8">
          <w:pPr>
            <w:pStyle w:val="Header"/>
          </w:pPr>
        </w:p>
      </w:tc>
      <w:tc>
        <w:tcPr>
          <w:tcW w:w="2551" w:type="dxa"/>
          <w:vMerge w:val="restart"/>
        </w:tcPr>
        <w:p w:rsidR="00D90E37" w:rsidRDefault="00D90E37" w:rsidP="000002B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2E41FF20" wp14:editId="34E54C96">
                <wp:extent cx="1533525" cy="781050"/>
                <wp:effectExtent l="0" t="0" r="9525" b="0"/>
                <wp:docPr id="2" name="Billede 2" descr="UK LARGE 24MM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 LARGE 24MM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0E37" w:rsidTr="00EE0C31">
      <w:trPr>
        <w:cantSplit/>
        <w:trHeight w:val="680"/>
      </w:trPr>
      <w:tc>
        <w:tcPr>
          <w:tcW w:w="3213" w:type="dxa"/>
        </w:tcPr>
        <w:p w:rsidR="00D90E37" w:rsidRDefault="00D90E37" w:rsidP="000002B8">
          <w:pPr>
            <w:pStyle w:val="Header"/>
          </w:pPr>
        </w:p>
      </w:tc>
      <w:tc>
        <w:tcPr>
          <w:tcW w:w="4017" w:type="dxa"/>
          <w:vMerge/>
        </w:tcPr>
        <w:p w:rsidR="00D90E37" w:rsidRDefault="00D90E37" w:rsidP="000002B8">
          <w:pPr>
            <w:pStyle w:val="Header"/>
          </w:pPr>
        </w:p>
      </w:tc>
      <w:tc>
        <w:tcPr>
          <w:tcW w:w="2551" w:type="dxa"/>
          <w:vMerge/>
        </w:tcPr>
        <w:p w:rsidR="00D90E37" w:rsidRDefault="00D90E37" w:rsidP="000002B8">
          <w:pPr>
            <w:pStyle w:val="Header"/>
          </w:pPr>
        </w:p>
      </w:tc>
    </w:tr>
  </w:tbl>
  <w:p w:rsidR="00D90E37" w:rsidRPr="00664C29" w:rsidRDefault="00D90E37" w:rsidP="00963AC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157A8"/>
    <w:multiLevelType w:val="hybridMultilevel"/>
    <w:tmpl w:val="1AA6D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2"/>
    <w:rsid w:val="000002B8"/>
    <w:rsid w:val="00007DF2"/>
    <w:rsid w:val="00067AB3"/>
    <w:rsid w:val="000A0248"/>
    <w:rsid w:val="000B1798"/>
    <w:rsid w:val="000F7E4F"/>
    <w:rsid w:val="00132F14"/>
    <w:rsid w:val="00163554"/>
    <w:rsid w:val="001648CF"/>
    <w:rsid w:val="00172FDF"/>
    <w:rsid w:val="00180412"/>
    <w:rsid w:val="00181AE8"/>
    <w:rsid w:val="0019378E"/>
    <w:rsid w:val="001A7649"/>
    <w:rsid w:val="001E30FD"/>
    <w:rsid w:val="001F150A"/>
    <w:rsid w:val="00205D05"/>
    <w:rsid w:val="0022021F"/>
    <w:rsid w:val="00220C22"/>
    <w:rsid w:val="00241A96"/>
    <w:rsid w:val="002441D0"/>
    <w:rsid w:val="00253629"/>
    <w:rsid w:val="00254803"/>
    <w:rsid w:val="00266FA6"/>
    <w:rsid w:val="0027643E"/>
    <w:rsid w:val="002928A7"/>
    <w:rsid w:val="002A5460"/>
    <w:rsid w:val="002C1A0C"/>
    <w:rsid w:val="002D3BB5"/>
    <w:rsid w:val="002E1371"/>
    <w:rsid w:val="002F663A"/>
    <w:rsid w:val="00300B66"/>
    <w:rsid w:val="00302064"/>
    <w:rsid w:val="00331418"/>
    <w:rsid w:val="0034387F"/>
    <w:rsid w:val="00365949"/>
    <w:rsid w:val="00384A8E"/>
    <w:rsid w:val="00385C37"/>
    <w:rsid w:val="0038744E"/>
    <w:rsid w:val="00387EDE"/>
    <w:rsid w:val="003D24C9"/>
    <w:rsid w:val="003D3725"/>
    <w:rsid w:val="003E1CC8"/>
    <w:rsid w:val="004048DF"/>
    <w:rsid w:val="0041331E"/>
    <w:rsid w:val="004271CF"/>
    <w:rsid w:val="00461C7F"/>
    <w:rsid w:val="00461DDF"/>
    <w:rsid w:val="00481D7E"/>
    <w:rsid w:val="00497647"/>
    <w:rsid w:val="004A21B4"/>
    <w:rsid w:val="004E674D"/>
    <w:rsid w:val="00502D10"/>
    <w:rsid w:val="0057060C"/>
    <w:rsid w:val="005845BA"/>
    <w:rsid w:val="005D1290"/>
    <w:rsid w:val="005F704B"/>
    <w:rsid w:val="006001A8"/>
    <w:rsid w:val="006300A9"/>
    <w:rsid w:val="00664C29"/>
    <w:rsid w:val="006861D1"/>
    <w:rsid w:val="0069649F"/>
    <w:rsid w:val="006A14D5"/>
    <w:rsid w:val="006A1608"/>
    <w:rsid w:val="006A16E7"/>
    <w:rsid w:val="006D46FA"/>
    <w:rsid w:val="006F2708"/>
    <w:rsid w:val="007A1730"/>
    <w:rsid w:val="007D489E"/>
    <w:rsid w:val="0081372A"/>
    <w:rsid w:val="00815270"/>
    <w:rsid w:val="00850376"/>
    <w:rsid w:val="00864C43"/>
    <w:rsid w:val="00896F8F"/>
    <w:rsid w:val="008B4BDD"/>
    <w:rsid w:val="00923899"/>
    <w:rsid w:val="00953439"/>
    <w:rsid w:val="00955327"/>
    <w:rsid w:val="00961D86"/>
    <w:rsid w:val="00963ACC"/>
    <w:rsid w:val="009824A3"/>
    <w:rsid w:val="009B4D69"/>
    <w:rsid w:val="009C0356"/>
    <w:rsid w:val="009F6816"/>
    <w:rsid w:val="00A05D46"/>
    <w:rsid w:val="00A07750"/>
    <w:rsid w:val="00A469BC"/>
    <w:rsid w:val="00A67EA7"/>
    <w:rsid w:val="00AB131D"/>
    <w:rsid w:val="00AE3DC9"/>
    <w:rsid w:val="00AF5F9A"/>
    <w:rsid w:val="00B16F15"/>
    <w:rsid w:val="00B534E7"/>
    <w:rsid w:val="00B55AA8"/>
    <w:rsid w:val="00B75357"/>
    <w:rsid w:val="00B77F0F"/>
    <w:rsid w:val="00BA234F"/>
    <w:rsid w:val="00BA2D8C"/>
    <w:rsid w:val="00BA31B0"/>
    <w:rsid w:val="00BD46E4"/>
    <w:rsid w:val="00BE1BBB"/>
    <w:rsid w:val="00C031CA"/>
    <w:rsid w:val="00C14618"/>
    <w:rsid w:val="00C16A46"/>
    <w:rsid w:val="00C27810"/>
    <w:rsid w:val="00C4046F"/>
    <w:rsid w:val="00C702FF"/>
    <w:rsid w:val="00CB5745"/>
    <w:rsid w:val="00CF4295"/>
    <w:rsid w:val="00D42343"/>
    <w:rsid w:val="00D44E92"/>
    <w:rsid w:val="00D67AF1"/>
    <w:rsid w:val="00D8131F"/>
    <w:rsid w:val="00D90E37"/>
    <w:rsid w:val="00DA4BB0"/>
    <w:rsid w:val="00DC000A"/>
    <w:rsid w:val="00DC6BA0"/>
    <w:rsid w:val="00DF5097"/>
    <w:rsid w:val="00E05650"/>
    <w:rsid w:val="00E17FCA"/>
    <w:rsid w:val="00E8262D"/>
    <w:rsid w:val="00EE0C31"/>
    <w:rsid w:val="00F00F60"/>
    <w:rsid w:val="00F110E3"/>
    <w:rsid w:val="00F63683"/>
    <w:rsid w:val="00F70AF0"/>
    <w:rsid w:val="00FC5ED8"/>
    <w:rsid w:val="00FD0DAE"/>
    <w:rsid w:val="00FE752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31B3B7"/>
  <w15:docId w15:val="{C8E508CF-D2FD-4A1A-8BF9-5E813AA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E4F"/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ep">
    <w:name w:val="Step"/>
    <w:basedOn w:val="Heading3"/>
    <w:pPr>
      <w:spacing w:after="60"/>
      <w:outlineLvl w:val="9"/>
    </w:pPr>
    <w:rPr>
      <w:b w:val="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567"/>
    </w:pPr>
  </w:style>
  <w:style w:type="paragraph" w:styleId="BalloonText">
    <w:name w:val="Balloon Text"/>
    <w:basedOn w:val="Normal"/>
    <w:link w:val="BalloonTextChar"/>
    <w:rsid w:val="00BD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6E4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9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.dk/who-are-we/general-terms-and-conditions/23888,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9A2C-B33F-4910-BD09-FCD640C1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Tilbud</vt:lpstr>
    </vt:vector>
  </TitlesOfParts>
  <Company>Teknologisk Institut</Company>
  <LinksUpToDate>false</LinksUpToDate>
  <CharactersWithSpaces>1268</CharactersWithSpaces>
  <SharedDoc>false</SharedDoc>
  <HLinks>
    <vt:vector size="12" baseType="variant"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mailto:jan.nielsen@teknologisk.dk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mailto:jan.nielsen@teknologisk.dk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</dc:title>
  <dc:creator>Grethe Eriksen</dc:creator>
  <cp:lastModifiedBy>Jan Nielsen</cp:lastModifiedBy>
  <cp:revision>10</cp:revision>
  <cp:lastPrinted>2016-09-15T07:17:00Z</cp:lastPrinted>
  <dcterms:created xsi:type="dcterms:W3CDTF">2016-09-15T07:18:00Z</dcterms:created>
  <dcterms:modified xsi:type="dcterms:W3CDTF">2017-10-17T07:30:00Z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ByEDoc">
    <vt:lpwstr>yes</vt:lpwstr>
  </property>
  <property fmtid="{D5CDD505-2E9C-101B-9397-08002B2CF9AE}" pid="3" name="CaseID">
    <vt:i4>66357</vt:i4>
  </property>
  <property fmtid="{D5CDD505-2E9C-101B-9397-08002B2CF9AE}" pid="4" name="Responsible2">
    <vt:lpwstr>Else Roland Larsen</vt:lpwstr>
  </property>
  <property fmtid="{D5CDD505-2E9C-101B-9397-08002B2CF9AE}" pid="5" name="Project">
    <vt:lpwstr>Installation og Kalibrering</vt:lpwstr>
  </property>
  <property fmtid="{D5CDD505-2E9C-101B-9397-08002B2CF9AE}" pid="6" name="Date_Of_Filing">
    <vt:filetime>2004-03-08T23:00:00Z</vt:filetime>
  </property>
  <property fmtid="{D5CDD505-2E9C-101B-9397-08002B2CF9AE}" pid="7" name="DocNo">
    <vt:lpwstr>407583</vt:lpwstr>
  </property>
  <property fmtid="{D5CDD505-2E9C-101B-9397-08002B2CF9AE}" pid="8" name="Status">
    <vt:lpwstr>Spærret</vt:lpwstr>
  </property>
  <property fmtid="{D5CDD505-2E9C-101B-9397-08002B2CF9AE}" pid="9" name="POAExpirery">
    <vt:filetime>2004-03-08T23:00:00Z</vt:filetime>
  </property>
  <property fmtid="{D5CDD505-2E9C-101B-9397-08002B2CF9AE}" pid="10" name="CaseType">
    <vt:lpwstr>Dokumentmappe</vt:lpwstr>
  </property>
  <property fmtid="{D5CDD505-2E9C-101B-9397-08002B2CF9AE}" pid="11" name="Categories">
    <vt:lpwstr>GRE Diverse</vt:lpwstr>
  </property>
  <property fmtid="{D5CDD505-2E9C-101B-9397-08002B2CF9AE}" pid="12" name="sagsnummer">
    <vt:lpwstr>1191918-02</vt:lpwstr>
  </property>
  <property fmtid="{D5CDD505-2E9C-101B-9397-08002B2CF9AE}" pid="13" name="DocumentStatusType">
    <vt:lpwstr>Adgang for hele Instituttet</vt:lpwstr>
  </property>
  <property fmtid="{D5CDD505-2E9C-101B-9397-08002B2CF9AE}" pid="14" name="FileLocationName">
    <vt:lpwstr>aarhus</vt:lpwstr>
  </property>
</Properties>
</file>